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9C2" w:rsidRPr="0075685C" w:rsidRDefault="006F1B2C" w:rsidP="0075685C">
      <w:pPr>
        <w:jc w:val="center"/>
        <w:rPr>
          <w:b/>
        </w:rPr>
      </w:pPr>
      <w:r>
        <w:rPr>
          <w:b/>
        </w:rPr>
        <w:t xml:space="preserve">REFLEXIONES ACERCA DE POBREZA, </w:t>
      </w:r>
      <w:r w:rsidR="005849C2" w:rsidRPr="0075685C">
        <w:rPr>
          <w:b/>
        </w:rPr>
        <w:t>DESIGUALDAD</w:t>
      </w:r>
      <w:r>
        <w:rPr>
          <w:b/>
        </w:rPr>
        <w:t xml:space="preserve"> Y DEFERENCIA</w:t>
      </w:r>
    </w:p>
    <w:p w:rsidR="005849C2" w:rsidRPr="0075685C" w:rsidRDefault="005849C2" w:rsidP="005849C2">
      <w:pPr>
        <w:rPr>
          <w:b/>
        </w:rPr>
      </w:pPr>
      <w:r w:rsidRPr="0075685C">
        <w:rPr>
          <w:b/>
        </w:rPr>
        <w:t>INTRODUCCIÓN</w:t>
      </w:r>
    </w:p>
    <w:p w:rsidR="005849C2" w:rsidRDefault="005849C2" w:rsidP="0075685C">
      <w:pPr>
        <w:spacing w:line="240" w:lineRule="auto"/>
        <w:ind w:left="0" w:firstLine="0"/>
      </w:pPr>
      <w:r>
        <w:t>El mundo de hoy se nos presenta dominado por el aparente triunfo arrollador del capitalismo y su expresión ideológica, el liberalismo bajo la forma neoconservadora</w:t>
      </w:r>
      <w:r w:rsidR="006F1B2C">
        <w:t xml:space="preserve">. Hay algunos indicadores como </w:t>
      </w:r>
      <w:r>
        <w:t xml:space="preserve">la profundización del proceso de globalización iniciado a fines del siglo XV y comienzos del XVI, que conlleva riesgos ciertos de uniformidad en todos los planos –incluyendo el muy decisivo de la cultura, donde se expresan las identidades–, </w:t>
      </w:r>
      <w:r w:rsidR="006F1B2C">
        <w:t xml:space="preserve">así como </w:t>
      </w:r>
      <w:r>
        <w:t xml:space="preserve">la creciente </w:t>
      </w:r>
      <w:proofErr w:type="spellStart"/>
      <w:r>
        <w:t>macdonaldización</w:t>
      </w:r>
      <w:proofErr w:type="spellEnd"/>
      <w:r>
        <w:t xml:space="preserve"> de las sociedades, con su secuela de mecanismos de control individual y colectivo fundados en sistemas racionalizados</w:t>
      </w:r>
      <w:r w:rsidR="006F1B2C">
        <w:t>. E</w:t>
      </w:r>
      <w:r>
        <w:t xml:space="preserve">s también un mundo caracterizado por un brutal incremento de la desigualdad –económica, social, política, cultura–, probablemente sin parangón en la historia de la humanidad, observable en el interior de cada sociedad y, en la escala planetaria, entre sociedades. Por añadidura, como si ello fuese poco para la utopía conservadora, asistimos a furibundos rebrotes xenófobos –tales, por ejemplo, los observables en la Unión Europea con los denominados extracomunitarios– y fundamentalismos religiosos y étnicos, algunos de los cuales se expresan bajo guerras terribles que pretenden fundamentarse apelando a la "purificación étnica", como en la ex Yugoslavia, o genocidios (en el sentido estricto del término), como acontece entre tutsis y hutus, en Ruanda y Burundi, una de las más siniestras herencias del colonialismo europeo en África. Cuando en nombre de la libertad se cercena la igualdad y no se reconoce la diferencia, o bien, por el contrario, cuando en nombre de la igualdad se mutila la libertad y se niega el derecho a la diferencia, para concluir en la uniformidad, buscar una opción diferente que –como nueva utopía realizable– sintetice los tres valores y los afirme en un marco de justicia, es una tarea que excede los límites de la discusión académica y se convierte en un punto de la agenda de quienes queremos un mundo mejor. La cuestión pasa a ser, entonces, una cuestión política. Si, conforme la célebre definición dada por la Suprema Corte norteamericana, la ciudadanía es el derecho a tener derechos, va de suyo que la cuestión tiene una dimensión que abarca diferentes planos de la reflexión académica y de la acción política. Ello es mucho más claro apenas se advierte que las políticas neoconservadoras no sólo han destruido o están destruyendo, en proporciones diferentes (según los casos), la ciudadanía social, lo más notoriamente visible, sino también están cercenando la ciudadanía política, al reducir la condición de ciudadano a la de mero votante, y la propia ciudadanía civil, piedra angular del liberalismo y del capitalismo iniciales, amputada por la generalización mundial del desempleo y, por extensión, de los marginados del mercado (llámense ellos </w:t>
      </w:r>
      <w:proofErr w:type="spellStart"/>
      <w:r>
        <w:t>lumpenproletariado</w:t>
      </w:r>
      <w:proofErr w:type="spellEnd"/>
      <w:r>
        <w:t>), es decir, por el cercenamiento del derecho al trabajo, como también por el de los derechos de las mujeres. Las políticas generadas por, o inspiradas en, el Consenso de Washington han provocado, según es público e indiscutible, un crecimiento de la pobreza de una magnitud tal que ha terminado por renovar el interés, incluso por parte de las mismas instituciones que las propulsaron e impulsan, por las políticas sociales destinadas a mitigar los efectos de aquéllas.</w:t>
      </w:r>
    </w:p>
    <w:p w:rsidR="006F1B2C" w:rsidRDefault="006F1B2C" w:rsidP="0075685C">
      <w:pPr>
        <w:spacing w:line="240" w:lineRule="auto"/>
        <w:ind w:left="0" w:firstLine="0"/>
      </w:pPr>
    </w:p>
    <w:p w:rsidR="006F1B2C" w:rsidRPr="006F1B2C" w:rsidRDefault="006F1B2C" w:rsidP="0075685C">
      <w:pPr>
        <w:spacing w:line="240" w:lineRule="auto"/>
        <w:ind w:left="0" w:firstLine="0"/>
        <w:rPr>
          <w:b/>
        </w:rPr>
      </w:pPr>
      <w:r>
        <w:rPr>
          <w:b/>
        </w:rPr>
        <w:t>POBREZA</w:t>
      </w:r>
      <w:r w:rsidR="00777DC8">
        <w:rPr>
          <w:b/>
        </w:rPr>
        <w:t xml:space="preserve"> (Y DESIGUALDAD)</w:t>
      </w:r>
    </w:p>
    <w:p w:rsidR="005849C2" w:rsidRDefault="005849C2" w:rsidP="0075685C">
      <w:pPr>
        <w:spacing w:line="240" w:lineRule="auto"/>
        <w:ind w:left="0" w:firstLine="0"/>
      </w:pPr>
      <w:r>
        <w:t xml:space="preserve">Partimos de una proposición básica: reducir el análisis de la pobreza al nivel de los ingresos –la llamada línea de pobreza– implica dejar de lado un aspecto muy importante: las limitaciones que la pobreza produce en la vida de los hombres, mujeres y niños que la padecen. Conforme </w:t>
      </w:r>
      <w:proofErr w:type="spellStart"/>
      <w:r>
        <w:t>Amartya</w:t>
      </w:r>
      <w:proofErr w:type="spellEnd"/>
      <w:r>
        <w:t xml:space="preserve"> </w:t>
      </w:r>
      <w:proofErr w:type="spellStart"/>
      <w:r>
        <w:t>Sen</w:t>
      </w:r>
      <w:proofErr w:type="spellEnd"/>
      <w:r>
        <w:t>, el análisis de la pobreza será mejor si se hace "en términos del fracaso de capacidades, [más] que en términos del fracaso para satisfacer las «necesidades básicas» de determinados bienes de consumo"</w:t>
      </w:r>
      <w:proofErr w:type="gramStart"/>
      <w:r>
        <w:t>.(</w:t>
      </w:r>
      <w:proofErr w:type="gramEnd"/>
      <w:r>
        <w:t xml:space="preserve">3) Ser pobre en una sociedad rica –o en una sociedad cara, </w:t>
      </w:r>
      <w:r>
        <w:lastRenderedPageBreak/>
        <w:t>como es el caso de la Argentina actual– es vivir con reducción de capacidades, carecer de bien– estar, es decir, mal vivir.</w:t>
      </w:r>
    </w:p>
    <w:p w:rsidR="005849C2" w:rsidRDefault="005849C2" w:rsidP="0075685C">
      <w:pPr>
        <w:spacing w:line="240" w:lineRule="auto"/>
        <w:ind w:left="0" w:firstLine="0"/>
      </w:pPr>
      <w:r>
        <w:t>Muchas corrientes teórico-ideológica consideran que la pobreza y la desigualdad son naturales, es decir, no se las contempla como fenómeno histórico y social, de allí surgen frases como “pobres hubo siempre” o “siempre habrá pobreza”. Sostener esto implica aceptar esta situación como una fatalidad, como algo con lo que hay que convivir</w:t>
      </w:r>
    </w:p>
    <w:p w:rsidR="005849C2" w:rsidRDefault="005849C2" w:rsidP="0075685C">
      <w:pPr>
        <w:spacing w:line="240" w:lineRule="auto"/>
        <w:ind w:left="0" w:firstLine="0"/>
      </w:pPr>
      <w:r>
        <w:t>Pero no es cierto: p</w:t>
      </w:r>
      <w:r w:rsidR="006F1B2C">
        <w:t>obres no hubo siempre. Es verdad</w:t>
      </w:r>
      <w:r>
        <w:t xml:space="preserve"> que ellos aparecieron en la historia de la humanidad hace ya largo tiempo, tanto que en la mismísima Biblia se hacen referencias a ellos. Pero pobres/pobreza es un binomio construido históricamente y no siempre quiere decir lo mismo en diferentes sociedades y tiempos. Los pobres comienzan a ser cuestión social (como se dirá a partir de los años 1830) –u objeto de una "nueva política social", como le llama </w:t>
      </w:r>
      <w:proofErr w:type="spellStart"/>
      <w:r>
        <w:t>Bronislaw</w:t>
      </w:r>
      <w:proofErr w:type="spellEnd"/>
      <w:r>
        <w:t xml:space="preserve"> </w:t>
      </w:r>
      <w:proofErr w:type="spellStart"/>
      <w:r>
        <w:t>Geremek</w:t>
      </w:r>
      <w:proofErr w:type="spellEnd"/>
      <w:r>
        <w:t xml:space="preserve"> y recoge Robert </w:t>
      </w:r>
      <w:proofErr w:type="spellStart"/>
      <w:r>
        <w:t>Castel</w:t>
      </w:r>
      <w:proofErr w:type="spellEnd"/>
      <w:r>
        <w:t xml:space="preserve">– cuando los albores del capitalismo. Karl </w:t>
      </w:r>
      <w:proofErr w:type="spellStart"/>
      <w:r>
        <w:t>Polany</w:t>
      </w:r>
      <w:proofErr w:type="spellEnd"/>
      <w:r>
        <w:t xml:space="preserve"> lo señala explícitamente: "Los pobres aparecieron por primera vez en Inglaterra durante la primera mitad del siglo XVI; luego se volvieron conspicuos como individuos que no estaban ligados al feudo, «o a ningún superior feudal», y su transformación gradual en una clase de trabajadores libres fue el resultado combinado de la feroz persecución de la vagancia y la promoción de la industria nacional, poderosamente ayudada por una expansión continua del comercio exterior. (...) Cuando se advirtió la importancia de la pobreza, el escenario estaba listo para el siglo XIX. La división ocurrió alrededor de 1780"</w:t>
      </w:r>
      <w:proofErr w:type="gramStart"/>
      <w:r>
        <w:t>.(</w:t>
      </w:r>
      <w:proofErr w:type="gramEnd"/>
      <w:r>
        <w:t>4)</w:t>
      </w:r>
    </w:p>
    <w:p w:rsidR="00704D96" w:rsidRDefault="00704D96" w:rsidP="0075685C">
      <w:pPr>
        <w:spacing w:line="240" w:lineRule="auto"/>
        <w:ind w:left="0" w:firstLine="0"/>
      </w:pPr>
      <w:r>
        <w:t xml:space="preserve">Sin ahondar mucho en un desarrollo histórico podemos afirmar que, si en los comienzos del capitalismo los pobres eran necesarios e imprescindibles, en su apoteosis son innecesarios y prescindibles. Si en el pasado podían, eventualmente, formar parte del ejército industrial de reserva, antes de degradarse a </w:t>
      </w:r>
      <w:proofErr w:type="spellStart"/>
      <w:r>
        <w:t>lumpenproletariado</w:t>
      </w:r>
      <w:proofErr w:type="spellEnd"/>
      <w:r>
        <w:t xml:space="preserve">, hoy sólo </w:t>
      </w:r>
      <w:proofErr w:type="gramStart"/>
      <w:r>
        <w:t>constituyen</w:t>
      </w:r>
      <w:proofErr w:type="gramEnd"/>
      <w:r>
        <w:t xml:space="preserve"> la </w:t>
      </w:r>
      <w:proofErr w:type="spellStart"/>
      <w:r>
        <w:t>infraclase</w:t>
      </w:r>
      <w:proofErr w:type="spellEnd"/>
      <w:r>
        <w:t>. Los pobres de ayer eran parte de la sociedad, estaban integrados a ella, en cierto sentido le eran funcionales; eran marginales, sí, pero su estar en los márgenes de la sociedad era un estar dentro de ella. Los pobres de hoy, en cambio, están excluidos, fuera de la sociedad.</w:t>
      </w:r>
    </w:p>
    <w:p w:rsidR="00704D96" w:rsidRDefault="00704D96" w:rsidP="0075685C">
      <w:pPr>
        <w:spacing w:line="240" w:lineRule="auto"/>
        <w:ind w:left="0" w:firstLine="0"/>
      </w:pPr>
      <w:r>
        <w:t xml:space="preserve">Esta es también la posición de </w:t>
      </w:r>
      <w:proofErr w:type="spellStart"/>
      <w:r>
        <w:t>Castel</w:t>
      </w:r>
      <w:proofErr w:type="spellEnd"/>
      <w:r>
        <w:t>, agudo analista de los procesos de precarización del empleo y de la exclusión social: "Siempre hubo una pobreza integrada. Pero los pobres no estaban excluidos, formaban parte de la organización social. Y puede decirse que había ricos y pobres como dos maneras de contribuir a un equilibrio social. Era incluso la visión religiosa de lo que es una sociedad. Creo que la oposición integración–exclusión es más grave en la medida en que niega una participación real en la sociedad a una parte cada vez mayor de gente. Y esto es consecuencia directa de cierta modalidad de funcionamiento económico"</w:t>
      </w:r>
      <w:proofErr w:type="gramStart"/>
      <w:r>
        <w:t>.(</w:t>
      </w:r>
      <w:proofErr w:type="gramEnd"/>
      <w:r>
        <w:t>8)</w:t>
      </w:r>
    </w:p>
    <w:p w:rsidR="00704D96" w:rsidRDefault="00704D96" w:rsidP="0075685C">
      <w:pPr>
        <w:spacing w:line="240" w:lineRule="auto"/>
        <w:ind w:left="0" w:firstLine="0"/>
      </w:pPr>
      <w:r>
        <w:t xml:space="preserve">Conviene destacar que, desde esta perspectiva, </w:t>
      </w:r>
      <w:r w:rsidR="003F40D1">
        <w:t xml:space="preserve">sostenemos que </w:t>
      </w:r>
      <w:r>
        <w:t xml:space="preserve">la pobreza es </w:t>
      </w:r>
      <w:proofErr w:type="gramStart"/>
      <w:r>
        <w:t>tanto</w:t>
      </w:r>
      <w:proofErr w:type="gramEnd"/>
      <w:r>
        <w:t xml:space="preserve"> desigualdad económica, cuanto –y quizás sobre todo– desigualdad social y cultural. De allí también una de las fuentes de la demanda de construcción de una ciudadanía democrática.</w:t>
      </w:r>
    </w:p>
    <w:p w:rsidR="003F40D1" w:rsidRDefault="003F40D1" w:rsidP="0075685C">
      <w:pPr>
        <w:spacing w:line="240" w:lineRule="auto"/>
        <w:ind w:left="0" w:firstLine="0"/>
      </w:pPr>
      <w:r>
        <w:t xml:space="preserve">Pongamos de referencia un estudio que se hizo a mediados de los noventa sobre los multimillonarios que conforman las 200 personas más ricas del planeta y publicado por la célebre revista norteamericana </w:t>
      </w:r>
      <w:proofErr w:type="spellStart"/>
      <w:r>
        <w:t>Fortune</w:t>
      </w:r>
      <w:proofErr w:type="spellEnd"/>
      <w:r>
        <w:t xml:space="preserve">. Los diez primeros nombres de la lista tienen, en conjunto, una riqueza total igual al ingreso anual de los cuarenta países más pobres (133.000 millones de dólares). Dentro de tan exclusivísimo club, hay algunos latinoamericanos, tales como Carlos </w:t>
      </w:r>
      <w:proofErr w:type="spellStart"/>
      <w:r>
        <w:t>Slim</w:t>
      </w:r>
      <w:proofErr w:type="spellEnd"/>
      <w:r>
        <w:t xml:space="preserve"> Helú, el hombre más rico de México, cuya riqueza (6.600 millones de dólares) es igual al total de los ingresos anuales de los diecisiete millones de sus compatriotas más pobres; o como los argentinos Gregorio Pérez </w:t>
      </w:r>
      <w:proofErr w:type="spellStart"/>
      <w:r>
        <w:t>Companc</w:t>
      </w:r>
      <w:proofErr w:type="spellEnd"/>
      <w:r>
        <w:t xml:space="preserve"> (en el 49º lugar), Roberto </w:t>
      </w:r>
      <w:proofErr w:type="spellStart"/>
      <w:r>
        <w:t>Rocca</w:t>
      </w:r>
      <w:proofErr w:type="spellEnd"/>
      <w:r>
        <w:t xml:space="preserve"> y Amalia </w:t>
      </w:r>
      <w:proofErr w:type="spellStart"/>
      <w:r>
        <w:t>Fortabat</w:t>
      </w:r>
      <w:proofErr w:type="spellEnd"/>
      <w:r>
        <w:t xml:space="preserve">, cuyos patrimonios personales son, respectivamente, de 5.200, 2.300 y 1.300 millones de dólares. La fortuna de Pérez </w:t>
      </w:r>
      <w:proofErr w:type="spellStart"/>
      <w:r>
        <w:t>Companc</w:t>
      </w:r>
      <w:proofErr w:type="spellEnd"/>
      <w:r>
        <w:t xml:space="preserve"> suma tanto como los ingresos anuales de los 3.500.000 de argentinos más pobres, que en conjunto sólo perciben el 1.6 % del total del </w:t>
      </w:r>
      <w:r>
        <w:lastRenderedPageBreak/>
        <w:t>ingreso nacional (calculado en 300.000 millones de dólares)</w:t>
      </w:r>
      <w:proofErr w:type="gramStart"/>
      <w:r>
        <w:t>.(</w:t>
      </w:r>
      <w:proofErr w:type="gramEnd"/>
      <w:r>
        <w:t>13) La desigualdad se hace más brutalmente notoria cuando sabemos que un tercio de argentinos –es decir, entre diez y doce millones de hombres, mujeres, niños y ancianos– "vive" por debajo de la línea de pobreza.</w:t>
      </w:r>
    </w:p>
    <w:p w:rsidR="003F40D1" w:rsidRDefault="003F40D1" w:rsidP="0075685C">
      <w:pPr>
        <w:spacing w:line="240" w:lineRule="auto"/>
        <w:ind w:left="0" w:firstLine="0"/>
      </w:pPr>
      <w:r>
        <w:t>¿Fatalidad? ¿Designio de Dios? ¿Trabajo y esfuerzo de unos y vagancia de otros? Yo digo que es injusto e inmoral, y que no es posible resignarse ante la brutalidad del hecho por el cual unos pocos se apoderan de lo que es de muchos. Como en la sociedad capitalista la desigualdad es parte estructural de él –aun cuando sus niveles sean menores que los actuales–, está claro que sólo voluntad, decisión y acción políticas pueden modificar tamaña injusticia.</w:t>
      </w:r>
    </w:p>
    <w:p w:rsidR="005849C2" w:rsidRDefault="00B82E33" w:rsidP="0075685C">
      <w:pPr>
        <w:spacing w:line="240" w:lineRule="auto"/>
        <w:ind w:left="0" w:firstLine="0"/>
      </w:pPr>
      <w:r>
        <w:t xml:space="preserve">La pobreza y sus conexas fragmentación y exclusión pueden englobarse bajo el rótulo común de desigualdad, concepto que remite a su antítesis, la igualdad. A su vez, ésta nos lleva a la diferencia y a la identidad. Ahora bien: en los marcos del espacio editorial disponible, sólo puedo llamar la atención sobre – más que analizar con cuidado– algunas implicancias (y muchas complejidades) que tiene la cuestión. Asociada a la tradición de las izquierdas, la igualdad surge históricamente como una de las expresiones del proyecto de la modernidad. Las experiencias del llamado socialismo real han llevado a buena parte de ellas a una encrucijada, poniendo, si no en entredicho, en barbecho (o en el </w:t>
      </w:r>
      <w:proofErr w:type="spellStart"/>
      <w:r>
        <w:t>freezer</w:t>
      </w:r>
      <w:proofErr w:type="spellEnd"/>
      <w:r>
        <w:t xml:space="preserve">, si se prefiere una denominación más acorde con nuestro tiempo) el concepto y la demanda de igualdad, a veces reemplazada por equidad, disenso, </w:t>
      </w:r>
      <w:proofErr w:type="spellStart"/>
      <w:r>
        <w:t>comunitarismo</w:t>
      </w:r>
      <w:proofErr w:type="spellEnd"/>
      <w:r>
        <w:t xml:space="preserve"> o alguna otra expresión</w:t>
      </w:r>
      <w:proofErr w:type="gramStart"/>
      <w:r>
        <w:t>.(</w:t>
      </w:r>
      <w:proofErr w:type="gramEnd"/>
      <w:r>
        <w:t>25) Pero la dificultad de la cuestión no es motivo suficiente para prescindir de ella, todo lo contrario.</w:t>
      </w:r>
    </w:p>
    <w:p w:rsidR="00777DC8" w:rsidRDefault="00777DC8" w:rsidP="0075685C">
      <w:pPr>
        <w:spacing w:line="240" w:lineRule="auto"/>
        <w:ind w:left="0" w:firstLine="0"/>
      </w:pPr>
    </w:p>
    <w:p w:rsidR="00777DC8" w:rsidRPr="00777DC8" w:rsidRDefault="00777DC8" w:rsidP="0075685C">
      <w:pPr>
        <w:spacing w:line="240" w:lineRule="auto"/>
        <w:ind w:left="0" w:firstLine="0"/>
        <w:rPr>
          <w:b/>
        </w:rPr>
      </w:pPr>
      <w:r>
        <w:rPr>
          <w:b/>
        </w:rPr>
        <w:t>IGUALDAD, DESIGUALDAD Y DIFERENCIA</w:t>
      </w:r>
    </w:p>
    <w:p w:rsidR="00B82E33" w:rsidRDefault="00B82E33" w:rsidP="0075685C">
      <w:pPr>
        <w:spacing w:line="240" w:lineRule="auto"/>
        <w:ind w:left="0" w:firstLine="0"/>
      </w:pPr>
      <w:r>
        <w:t>Ángeles Perona –para quien la igualdad podrá ser universal si puede integrar la diferencia– postula entender el concepto igualdad no en los términos «igualdad a», sino en los de «igualdad entre», fórmula certera que permite concebir ésta "como semejanza y desemejanza recíproca" y, por ende, reconocer la identidad. "La igualdad así entendida sería el único marco donde sería posible reconocer identidades singulares y colectivas cuyas diferencias fueran inocuas para la igualdad política y social. (...) Así pues, la «igualdad entre» admite diferencias pero no desigualdades; admite desemejanzas recíprocas entre individuos de una misma especie pues sólo así es posible distinguirlos como singulares, con identidades propias e intransferibles"</w:t>
      </w:r>
      <w:proofErr w:type="gramStart"/>
      <w:r>
        <w:t>.(</w:t>
      </w:r>
      <w:proofErr w:type="gramEnd"/>
      <w:r>
        <w:t>28)</w:t>
      </w:r>
    </w:p>
    <w:p w:rsidR="00B82E33" w:rsidRDefault="00B82E33" w:rsidP="0075685C">
      <w:pPr>
        <w:spacing w:line="240" w:lineRule="auto"/>
        <w:ind w:left="0" w:firstLine="0"/>
      </w:pPr>
      <w:proofErr w:type="gramStart"/>
      <w:r>
        <w:t>igualdad</w:t>
      </w:r>
      <w:proofErr w:type="gramEnd"/>
      <w:r>
        <w:t xml:space="preserve"> es un término "inscrito en una red categorial que tiene como puntos clave los conceptos de libertad, naturaleza y ciudadanía. (...) Esta tríada conceptual resulta necesaria para cualquier definición que se ofrezca del concepto y, en concreto, es la idea de ciudadanía la que nos puede dar la clave del campo de referencia de la igualdad universal"</w:t>
      </w:r>
      <w:proofErr w:type="gramStart"/>
      <w:r>
        <w:t>.(</w:t>
      </w:r>
      <w:proofErr w:type="gramEnd"/>
      <w:r>
        <w:t>29) Por esta razón –y en el marco de las ya aludidas limitaciones de espacio–, haré, finalmente, una aproximación a la cuestión de la ciudadanía.</w:t>
      </w:r>
    </w:p>
    <w:p w:rsidR="00777DC8" w:rsidRDefault="00777DC8" w:rsidP="0075685C">
      <w:pPr>
        <w:spacing w:line="240" w:lineRule="auto"/>
        <w:ind w:left="0" w:firstLine="0"/>
        <w:rPr>
          <w:b/>
        </w:rPr>
      </w:pPr>
    </w:p>
    <w:p w:rsidR="00777DC8" w:rsidRDefault="00777DC8" w:rsidP="0075685C">
      <w:pPr>
        <w:spacing w:line="240" w:lineRule="auto"/>
        <w:ind w:left="0" w:firstLine="0"/>
        <w:rPr>
          <w:b/>
        </w:rPr>
      </w:pPr>
      <w:r>
        <w:rPr>
          <w:b/>
        </w:rPr>
        <w:t>CIUDADANÍA Y DEMOCRACIA</w:t>
      </w:r>
    </w:p>
    <w:p w:rsidR="00B82E33" w:rsidRDefault="00B82E33" w:rsidP="0075685C">
      <w:pPr>
        <w:spacing w:line="240" w:lineRule="auto"/>
        <w:ind w:left="0" w:firstLine="0"/>
      </w:pPr>
      <w:r>
        <w:t>Desde mediados del siglo XX, cuando se hizo pública la ahora clásica interpretación del sociólogo inglés Thomas H. Marshall, se ha tornado común la distinción de la ciudadanía en tres dimensiones: civil, política y social</w:t>
      </w:r>
      <w:proofErr w:type="gramStart"/>
      <w:r>
        <w:t>.(</w:t>
      </w:r>
      <w:proofErr w:type="gramEnd"/>
      <w:r>
        <w:t xml:space="preserve">30) Basándose en la experiencia histórica británica, Marshall construyó una secuencia que seguía ese orden y se desplegaba desde 1688 hasta el siglo XX. La ciudadanía civil incluye los derechos necesarios para la libertad individual: libertades de expresión, de pensamiento, de circular, de asociación, de peticionar... La Constitución argentina los reconoce explícitamente en su artículo 14: trabajar y ejercer toda </w:t>
      </w:r>
      <w:r>
        <w:lastRenderedPageBreak/>
        <w:t xml:space="preserve">industria lícita, navegar y comerciar, peticionar a las autoridades, entrar, transitar y salir del territorio argentino, publicar sus ideas por la prensa sin censura previa, usar y disponer de su propiedad, asociarse con fines útiles, profesar libremente su culto, enseñar y aprender. La ciudadanía política, un logro del siglo XIX, se refiere al derecho de elegir y ser elegido (derecho de sufragio y de participar en parlamentos soberanos). La ciudadanía social, finalmente, corresponde a la fase del </w:t>
      </w:r>
      <w:proofErr w:type="spellStart"/>
      <w:r>
        <w:t>Welfare</w:t>
      </w:r>
      <w:proofErr w:type="spellEnd"/>
      <w:r>
        <w:t xml:space="preserve"> </w:t>
      </w:r>
      <w:proofErr w:type="spellStart"/>
      <w:r>
        <w:t>State</w:t>
      </w:r>
      <w:proofErr w:type="spellEnd"/>
      <w:r>
        <w:t xml:space="preserve"> y consiste en una serie de derechos –también llamados sociales–, en su mayoría concedidos a los trabajadores: a salud, educación, recreación, jubilación, estabilidad en el empleo, indemnización en casos de despido/o accidente, etc. Un conjunto de derechos, en suma, para permitir "una porción de bienestar económico y seguridad para (...) participar plenamente del patrimonio social y para vivir la vida de un ser civilizado, conforme los estándares prevalentes en la sociedad", para decirlo con las palabras de Thomas Marshall. La proposición de Marshall generó una tendencia a pensar los procesos históricos de constitución de la ciudadanía en términos evolutivos, siguiendo la secuencia tripartita civil política social, y el orden países desarrollados (más rápidamente) países periféricos (más lentamente), luego fuerte y eficazmente objetada por el británico Michael Mann, para quien los procesos de constitución de la ciudadanía deben estudiarse prestando atención a las diferentes estrategias seguidas por los actores sociales involucrados en los conflictos –en particular, el conflicto de clase–, lo cual significa que tales procesos son distintos y tienen cierta singularidad.(31) En nuestro país –donde el proceso de construcción de la ciudadanía ha sido objeto de escasísimas investigaciones–, la ciudadanía civil –la libertad civil, según gustaba decir Juan Bautista Alberdi– tuvo temprana aceptación desde que los dirigentes revolucionarios de 1810 la pusieron en la agenda de sus demandas, pero debía pasar más de un siglo para que ella, por ejemplo, fuese extendida a las mujeres (parcialmente en la década de 1920, por ley 11.357, y de modo pleno recién en 1967 –ley 17.711–, superando así la condición de incapacidad para realizar algunas de las libertades normadas por el código civil). A su vez, la ciudadanía política también comenzó a construirse con el propio proceso revolucionario, por más que la efectiva concreción del derecho de sufragio debiera esperar hasta 1912 en el caso de los varones y hasta 1947 para el de las mujeres (siempre y cuando unos y otras fuesen argentinos mayores de 18 años), tras un proceso caracterizado, en sentido estricto, por una complejidad no exenta de tortuosidad. Finalmente, la ciudadanía social inició su forja, al menos en algunas de sus manifestaciones, a comienzos del siglo XX, cuando aún no estaban plenamente definidas las otras dos, circunstancia que ha llevado a algunos autores –a mi juicio erróneamente– a postular la temprana existencia de un Estado de Bienestar en Argentina. El desiderátum de los derechos sociales fue la Constitución nacional de 1949, cuya derogación por un gobierno de facto, en 1955, no pudo impedir su reconocimiento con igual rango en la reforma de 1957 (artículo 14 bis), reiterado en 1994. Esta ciudadanía social es la que ha empezado a ser abolida en los últimos años, marcando un retroceso histórico y un hiato en la historia de la sociedad argentina, cuestión a la que me referiré poco más adelante. La ciudadanía –cuyo significado ha variado históricamente desde Aristóteles hasta nuestros días, tanto que a juicio del español </w:t>
      </w:r>
      <w:proofErr w:type="spellStart"/>
      <w:r>
        <w:t>Ricard</w:t>
      </w:r>
      <w:proofErr w:type="spellEnd"/>
      <w:r>
        <w:t xml:space="preserve"> Zapata Barrero el problema debe ser planteado en términos no de un concepto sino de concepciones de la ciudadanía– remite hoy, inter </w:t>
      </w:r>
      <w:proofErr w:type="spellStart"/>
      <w:r>
        <w:t>alia</w:t>
      </w:r>
      <w:proofErr w:type="spellEnd"/>
      <w:r>
        <w:t>, a pertenencia e identidad nacional, participación, comunidad... Se refiere a derechos y está inextricablemente ligada a la cuestión de la igualdad. Dicho de otro modo, la ciudadanía no puede entenderse fuera de su articulación con la inclusión y la exclusión.</w:t>
      </w:r>
    </w:p>
    <w:p w:rsidR="00B82E33" w:rsidRDefault="00B82E33" w:rsidP="0075685C">
      <w:pPr>
        <w:spacing w:line="240" w:lineRule="auto"/>
        <w:ind w:left="0" w:firstLine="0"/>
      </w:pPr>
      <w:r>
        <w:t xml:space="preserve">La asociación ciudadanía–derechos se resume brillantemente en una concisa proposición: la ciudadanía es el derecho a tener derechos. (33) En ese sentido, todo recorte de derechos es una mutilación de la ciudadanía. La cuestión es de suma importancia, pues, en primer lugar, no es igual tener derecho a algo, que tener ese algo: por caso, tener derecho a la vivienda o, como dice el artículo 14 bis de la Constitución nacional, "el acceso a una vivienda digna", no es lo mismo que tener una casa, de igual modo que tener derecho al trabajo no se traduce necesariamente en tener un empleo. En segundo lugar, a todo derecho corresponde un deber: </w:t>
      </w:r>
      <w:r>
        <w:lastRenderedPageBreak/>
        <w:t>"afirmar (...) que alguien tiene un derecho implica afirmar que alguien distinto de él tiene un deber. Un deber de hacer o de no hacer, o de respetar lo que haga quien tiene el derecho". La garantía jurídica del cumplimiento de éste corresponde al Estado, encargado de ejercer la coerción sobre quien no cumple con el deber correspondiente a ese derecho. Así, todo ciudadano (particular) afectado en un derecho por el incumplimiento del deber correspondiente de otro ciudadano (también particular) debe ser atendido de manera tal que el primero sea resarcido y el segundo reciba la sanción del caso. Mas para que el principio sea efectivo, es necesario que el Estado ejecute su decisión de aplicar la coerción sobre quien ha incumplido con su deber</w:t>
      </w:r>
      <w:proofErr w:type="gramStart"/>
      <w:r>
        <w:t>.(</w:t>
      </w:r>
      <w:proofErr w:type="gramEnd"/>
      <w:r>
        <w:t xml:space="preserve">34) El problema se complica cuando inquirimos sobre "¿quién tiene el deber «correspondiente» a un derecho de libertad?" A diferencia de otros derechos, los de libertad son irrenunciables: un hombre o una mujer puede renunciar, por ejemplo, al derecho de propiedad, mas no puede consentir convertirse en un esclavo. Es cierto que, recuerda </w:t>
      </w:r>
      <w:proofErr w:type="spellStart"/>
      <w:r>
        <w:t>Capella</w:t>
      </w:r>
      <w:proofErr w:type="spellEnd"/>
      <w:r>
        <w:t>, los derechos de libertad son generales y todos los ciudadanos tienen el deber de respetarlos. Pero esa observancia es insuficiente. De allí que se requiera algo más, de una diferencia. "La diferencia consiste [según argumenta el autor catalán] en que a los «derechos de libertad» les corresponde, además, un deber del Estado. Es sobre todo el Estado quien tiene el deber de respetar tales derechos. (...) Los deberes del Estado que garantizan los derechos de libertad (y los «sociales», etc.) de los ciudadanos son... de naturaleza política", lo cual significa que "la existencia de derechos de libertad no está jurídicamente garantizada porque la constitución que los proclama no está jurídicamente garantizada. Los famosos deberes del Estado están impuestos, pura y simplemente, por una correlación de fuerzas de naturaleza política", esto es, por "los diferentes poderes reales con pretensiones políticas existentes tal como aparecen en la «situación actual» de la pugna entre ellos. (...) Los frágiles «derechos de libertad» de la época moderna se basan, pues, en la convención de respetar los «derechos de libertad». Dependen, pues, de [a] quienes convienen"</w:t>
      </w:r>
      <w:proofErr w:type="gramStart"/>
      <w:r>
        <w:t>.(</w:t>
      </w:r>
      <w:proofErr w:type="gramEnd"/>
      <w:r>
        <w:t>35)</w:t>
      </w:r>
    </w:p>
    <w:p w:rsidR="00B82E33" w:rsidRDefault="00B82E33" w:rsidP="0075685C">
      <w:pPr>
        <w:spacing w:line="240" w:lineRule="auto"/>
        <w:ind w:left="0" w:firstLine="0"/>
      </w:pPr>
      <w:r>
        <w:t xml:space="preserve">Un principio elemental de la ciudadanía es el de la igualdad o, al menos, orientación en pro de la disminución de las desigualdades. En efecto, la larga lucha por la construcción de la ciudadanía –desde los lejanos tiempos en favor de la civil hasta nuestros días y su demanda en pro de la democrática o multicultural– no es más que la persecución de un ideal típico de la modernidad, el de la igualdad. ¡Menudo problema! Aquí, otra vez, sólo he de trazar algunas líneas muy gruesas.(38) Una de las primeras y más sólidas demandas de igualdad –exceptuando quizás el temprano movimiento de los </w:t>
      </w:r>
      <w:proofErr w:type="spellStart"/>
      <w:r>
        <w:t>levellers</w:t>
      </w:r>
      <w:proofErr w:type="spellEnd"/>
      <w:r>
        <w:t xml:space="preserve">, en la Inglaterra de los 1640– fue la de igualdad ante la ley, consagrado como valor universal por la Declaración de los Derechos del Hombre y del Ciudadano proclamada por los revolucionarios franceses en 1789.(39) De allí en más, la igualdad –aun con todos los límites existentes entre la igualdad ante la ley, es decir, formal, y la igualdad real– fue pensada como un medio de reducir las diferencias entre los hombres (más tarde, lucha mediante, también entre las mujeres), entroncándose con las luchas por la democracia política y social, sea desde una perspectiva reformista de las clases dominantes o de las subalternas, sea desde una revolucionaria. Ahora bien: Para que exista ciudadanía democrática, reconocer la igualdad de derechos es una condición necesaria pero no suficiente. "Mientras no todos tengan el mismo acceso a los medios de adquirir competencia (...) la igualdad de derechos no conferirá dignidad. Por eso es un error basar la defensa de la democracia en la ficción sentimental de que todas las personas son iguales. De hecho, las personas no son iguales en sus capacidades (...). Como ha señalado Anna </w:t>
      </w:r>
      <w:proofErr w:type="spellStart"/>
      <w:r>
        <w:t>Arendt</w:t>
      </w:r>
      <w:proofErr w:type="spellEnd"/>
      <w:r>
        <w:t xml:space="preserve">, la Ilustración lo vio al revés de cómo era. Es la ciudadanía la que confiere igualdad, no la igualdad la que crea un derecho a la ciudadanía."(40) En este sentido, el cercenamiento de la ciudadanía social –esa conquista que permitió, en los propios marcos del sistema capitalista, atenuar (no abolir) las diferencias económicas y sociales entre hombres, mujeres, niños y ancianos ubicados en distintos niveles de la pirámide social– no sólo es un ataque a la igualdad, sino una consagración de la convicción del conservadurismo y de la derecha (de hoy y de ayer) sobre la desigualdad.(41) El peligro de hacer efectiva la tentación de la derecha de </w:t>
      </w:r>
      <w:r>
        <w:lastRenderedPageBreak/>
        <w:t xml:space="preserve">pasar de la eliminación de la ciudadanía social a la pérdida progresiva de la ciudadanía política de los excluidos, no ha escapado a las voces críticas. Así, Robert Castell ha dicho recientemente que una situación tal "sería la hipótesis límite de una sociedad totalmente dividida, como Esparta, donde estaban los ciudadanos y los esclavos". De allí que </w:t>
      </w:r>
      <w:proofErr w:type="spellStart"/>
      <w:r>
        <w:t>Lasch</w:t>
      </w:r>
      <w:proofErr w:type="spellEnd"/>
      <w:r>
        <w:t xml:space="preserve"> tenga razón al afirmar que hoy la principal amenaza parece proceder mucho más de quienes se encuentran en la cúspide de la jerarquía social, que de las masas. No se trata de voces agoreras: las primeras manifestaciones ya se advierten en varias sociedades, empezando por la norteamericana, en las cuales la concepción del ciudadano político –esto es, el comprometido con la res pública– se va licuando en la figura del mero votante o </w:t>
      </w:r>
      <w:proofErr w:type="spellStart"/>
      <w:r>
        <w:t>sufragante</w:t>
      </w:r>
      <w:proofErr w:type="spellEnd"/>
      <w:r>
        <w:t xml:space="preserve">, alguien que concurre a ejercer el derecho de voto de vez en vez, sólo porque la emisión de éste es obligatoria (de hecho, un deber) o, incluso, porque relaciones clientelares le impelen a hacerlo. Más gravemente, en los países donde el sufragio es voluntario u optativo, aparece, ya no el </w:t>
      </w:r>
      <w:proofErr w:type="spellStart"/>
      <w:r>
        <w:t>sufragante</w:t>
      </w:r>
      <w:proofErr w:type="spellEnd"/>
      <w:r>
        <w:t xml:space="preserve">, sino el abstemio. Por otra parte, la primacía del mercado y la simétrica retirada del Estado generan un riesgo (o, si se prefiere un término a la moda, un costo) adicional nada desdeñable: el debilitamiento –y en el límite la licuación– de la nación, entendida ésta, en los términos de Guillermo </w:t>
      </w:r>
      <w:proofErr w:type="spellStart"/>
      <w:r>
        <w:t>O'Donnell</w:t>
      </w:r>
      <w:proofErr w:type="spellEnd"/>
      <w:r>
        <w:t xml:space="preserve">, como un arco de solidaridades. "La función del Estado [recuerda </w:t>
      </w:r>
      <w:proofErr w:type="spellStart"/>
      <w:r>
        <w:t>Castel</w:t>
      </w:r>
      <w:proofErr w:type="spellEnd"/>
      <w:r>
        <w:t xml:space="preserve">] es mantener la cohesión social y asegurar que una nación siga siendo un conjunto de sujetos, de grupos que estén unidos entre sí por relaciones de interdependencia. Es inadmisible que deje de representar a la sociedad como un todo y se ponga al servicio de un interés particular". Al terminar el siglo XX, el mercado unifica el mundo; pero, correlativamente, alimenta la fragmentación y la agresividad religiosas (fundamentalismos) y étnicas. Aunque expresada en otros términos, la postura de </w:t>
      </w:r>
      <w:proofErr w:type="spellStart"/>
      <w:r>
        <w:t>Lasch</w:t>
      </w:r>
      <w:proofErr w:type="spellEnd"/>
      <w:r>
        <w:t xml:space="preserve"> es coincidente:"Lo que subyace a ambos procesos –el de unificación y el aparentemente contradictorio hacia la fragmentación– es el debilitamiento de la nación–Estado. El Estado ya no puede contener los conflictos étnicos ni, por otra parte, las fuerzas que impulsan hacia la globalización"</w:t>
      </w:r>
      <w:proofErr w:type="gramStart"/>
      <w:r>
        <w:t>.(</w:t>
      </w:r>
      <w:proofErr w:type="gramEnd"/>
      <w:r>
        <w:t xml:space="preserve">42) Al ser incontinente y abrir paso a la disolución de la cohesión social, el Estado de los neoconservadores socava también las bases de un orden político democrático. Hace ya mucho tiempo que Thomas </w:t>
      </w:r>
      <w:proofErr w:type="spellStart"/>
      <w:r>
        <w:t>Paine</w:t>
      </w:r>
      <w:proofErr w:type="spellEnd"/>
      <w:r>
        <w:t>, en los albores de las luchas por las primeras democracias políticas, advirtió con precisión que el poder democrático sólo es posible cuando la gente "mutua y naturalmente se apoya entre sí", marcando la distancia respecto del poder imperial y su carácter cualitativamente diferente: "siempre remoto y ejercido lejos de donde viven los ciudadanos"</w:t>
      </w:r>
      <w:proofErr w:type="gramStart"/>
      <w:r>
        <w:t>.(</w:t>
      </w:r>
      <w:proofErr w:type="gramEnd"/>
      <w:r>
        <w:t>43) Así, el reino del mercado es la ley de calle, o la de la selva. Más aún: el mercado es enemigo de la democracia.</w:t>
      </w:r>
    </w:p>
    <w:p w:rsidR="00B82E33" w:rsidRDefault="00B82E33" w:rsidP="0075685C">
      <w:pPr>
        <w:spacing w:line="240" w:lineRule="auto"/>
        <w:ind w:left="0" w:firstLine="0"/>
      </w:pPr>
    </w:p>
    <w:p w:rsidR="00B82E33" w:rsidRDefault="00B82E33" w:rsidP="0075685C">
      <w:pPr>
        <w:spacing w:line="240" w:lineRule="auto"/>
        <w:ind w:left="0" w:firstLine="0"/>
      </w:pPr>
      <w:r>
        <w:t xml:space="preserve">De lo que se trata, pues, es de conciliar la tensión entre universalismo y particularismo, procurando alcanzar, en los términos de Marco </w:t>
      </w:r>
      <w:proofErr w:type="spellStart"/>
      <w:r>
        <w:t>Martiniello</w:t>
      </w:r>
      <w:proofErr w:type="spellEnd"/>
      <w:r>
        <w:t>, "la equidad para todos los miembros de la sociedad", entendiendo por equidad "la solución de las tensiones entre la igualdad formal y las diferencias y desigualdades reales"</w:t>
      </w:r>
      <w:proofErr w:type="gramStart"/>
      <w:r>
        <w:t>.(</w:t>
      </w:r>
      <w:proofErr w:type="gramEnd"/>
      <w:r>
        <w:t>46)</w:t>
      </w:r>
    </w:p>
    <w:p w:rsidR="00B82E33" w:rsidRDefault="00B82E33" w:rsidP="0075685C">
      <w:pPr>
        <w:spacing w:line="240" w:lineRule="auto"/>
        <w:ind w:left="0" w:firstLine="0"/>
      </w:pPr>
    </w:p>
    <w:p w:rsidR="00B82E33" w:rsidRDefault="00A34937" w:rsidP="0075685C">
      <w:pPr>
        <w:spacing w:line="240" w:lineRule="auto"/>
        <w:ind w:left="0" w:firstLine="0"/>
      </w:pPr>
      <w:r>
        <w:t>Si –como a mi juicio debemos hacer rápidamente– ponemos en la agenda de la sociedad argentina de fines de siglo y milenio la demanda de construir una sociedad mejor, genuinamente democrática (tanto en lo político cuanto en lo social), no podemos eludir el problema de cómo construimos una ciudadanía democrática y qué tipo de ciudadanos democráticos queremos. No se trata de un programa utópico ni de una declaración de principios irrealizables. De hecho, aun sin estar planteados explícitamente en esos términos, ya están observándose algunas manifestaciones de tal construcción. Tal es caso del fallo judicial favorable obtenido por el matrimonio Fernanda Ortega (tupí guaraní) y Wenceslao Villanueva (</w:t>
      </w:r>
      <w:proofErr w:type="spellStart"/>
      <w:r>
        <w:t>aymara</w:t>
      </w:r>
      <w:proofErr w:type="spellEnd"/>
      <w:r>
        <w:t xml:space="preserve">), quienes por esa vía pudieron revertir –tras ocho meses de gestión– la tozuda (por no decir imbécil) resistencia y discriminación de funcionarios del Registro Nacional de las Personas a que ambos llamaran a su beba </w:t>
      </w:r>
      <w:proofErr w:type="spellStart"/>
      <w:r>
        <w:t>Amankaya</w:t>
      </w:r>
      <w:proofErr w:type="spellEnd"/>
      <w:r>
        <w:t xml:space="preserve"> </w:t>
      </w:r>
      <w:proofErr w:type="spellStart"/>
      <w:r>
        <w:t>Wiñay</w:t>
      </w:r>
      <w:proofErr w:type="spellEnd"/>
      <w:r>
        <w:t xml:space="preserve">. La única posibilidad estribaba en aceptar la </w:t>
      </w:r>
      <w:r>
        <w:lastRenderedPageBreak/>
        <w:t>exigencia de los burócratas (del Estado, mejor) de anteponerle un "nombre católico". Con buen criterio, y en defensa de su identidad cultural, los padres recurrieron a la justicia y finalmente obtuvieron de la Cámara Nacional de Apelaciones un dictamen favorable. Ínterin, la niña era una innominada y, por ende, no tenía ninguna posibilidad de acceder a un derecho (social) tan elemental como los de atención médica u obra social</w:t>
      </w:r>
      <w:proofErr w:type="gramStart"/>
      <w:r>
        <w:t>.(</w:t>
      </w:r>
      <w:proofErr w:type="gramEnd"/>
      <w:r>
        <w:t>51)</w:t>
      </w:r>
    </w:p>
    <w:p w:rsidR="00A34937" w:rsidRDefault="00A34937" w:rsidP="0075685C">
      <w:pPr>
        <w:spacing w:line="240" w:lineRule="auto"/>
        <w:ind w:left="0" w:firstLine="0"/>
      </w:pPr>
      <w:r>
        <w:t>Educar para la ciudadanía democrática conlleva cuatro dimensiones o principios interrelacionados: 1) La racionalización, esto es, la apelación a las instituciones –a la vía institucional– para construir tal ciudadanía mediante "una pedagogía de constitución de sujetos críticos, competentes para hacer valoraciones y emitir juicios políticos". 2) "La ciudadanía en cuanto espacio de identificación de los sujetos, constitución de autonomía y sentido ético; como ámbito público para el desarrollo de los movimientos y actores sociales". 3) "La ciudadanía como comunicación y descubrimiento del otro. Esta dimensión cuestiona la idea de la ciudadanía en cuanto totalidad abstracta y se abre al reconocimiento del otro en cuanto un rostro en que se capta el sentido propio de la responsabilidad, de la acogida y del hacer el bien". 4) La esperanza, en tanto "perspectiva de la utopía, entendida como una instancia ético–crítica" para poder "dar sentido y tensión a las prácticas presentes". No se trata, dice Osorio, de "una esperanza religiosa, sino de una esperanza ética, de certidumbres relativas construidas desde el ámbito de las virtudes públicas, desde la responsabilidad del sujeto, desde la acción"</w:t>
      </w:r>
      <w:proofErr w:type="gramStart"/>
      <w:r>
        <w:t>.(</w:t>
      </w:r>
      <w:proofErr w:type="gramEnd"/>
      <w:r>
        <w:t>58) Por cierto, la tarea no se agota allí ni es fácil. Pero parece hora de empezar a construir, desde abajo y con cimientos profundos, una nueva manera de vivir en el mundo.</w:t>
      </w:r>
    </w:p>
    <w:p w:rsidR="00A34937" w:rsidRDefault="00A34937" w:rsidP="0075685C">
      <w:pPr>
        <w:spacing w:line="240" w:lineRule="auto"/>
        <w:ind w:left="0" w:firstLine="0"/>
      </w:pPr>
      <w:r>
        <w:t>Tp</w:t>
      </w:r>
      <w:r w:rsidR="00777DC8">
        <w:t>1</w:t>
      </w:r>
      <w:r>
        <w:t>: buscar formas de discriminación: género, orientación sexual, etnia (lenguaje, religión)</w:t>
      </w:r>
    </w:p>
    <w:p w:rsidR="00777DC8" w:rsidRDefault="00777DC8" w:rsidP="0075685C">
      <w:pPr>
        <w:spacing w:line="240" w:lineRule="auto"/>
        <w:ind w:left="0" w:firstLine="0"/>
      </w:pPr>
      <w:proofErr w:type="spellStart"/>
      <w:r>
        <w:t>Tp</w:t>
      </w:r>
      <w:proofErr w:type="spellEnd"/>
      <w:r>
        <w:t xml:space="preserve"> 2 Buscar formas de participación activa y colectiva</w:t>
      </w:r>
    </w:p>
    <w:sectPr w:rsidR="00777DC8" w:rsidSect="0018337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A0BE2"/>
    <w:multiLevelType w:val="hybridMultilevel"/>
    <w:tmpl w:val="7EA043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849C2"/>
    <w:rsid w:val="00183375"/>
    <w:rsid w:val="00186C45"/>
    <w:rsid w:val="001F6DD0"/>
    <w:rsid w:val="003F40D1"/>
    <w:rsid w:val="005849C2"/>
    <w:rsid w:val="00650DE3"/>
    <w:rsid w:val="006F1B2C"/>
    <w:rsid w:val="00704D96"/>
    <w:rsid w:val="0075685C"/>
    <w:rsid w:val="00777DC8"/>
    <w:rsid w:val="00A34937"/>
    <w:rsid w:val="00B82E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360" w:lineRule="auto"/>
        <w:ind w:left="992" w:hanging="99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37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49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4206</Words>
  <Characters>23138</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CsHombre</dc:creator>
  <cp:lastModifiedBy>CsHombre</cp:lastModifiedBy>
  <cp:revision>3</cp:revision>
  <dcterms:created xsi:type="dcterms:W3CDTF">2016-05-17T12:01:00Z</dcterms:created>
  <dcterms:modified xsi:type="dcterms:W3CDTF">2016-05-17T13:21:00Z</dcterms:modified>
</cp:coreProperties>
</file>